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1 do umowy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SZCZEGÓŁOWY OPIS PRZEDMIOTU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Dostawa rur i elementów preizolowanych przeznaczonych dla robót budowlanych w zakresie: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ind w:hanging="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2u6wntf" w:id="0"/>
      <w:bookmarkEnd w:id="0"/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Przebudowa przyłącza do budynku przy ulicy Brechta 15 w Warszawie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ramach projektu: </w:t>
      </w: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smallCaps w:val="0"/>
          <w:strike w:val="0"/>
          <w:color w:val="222222"/>
          <w:sz w:val="20"/>
          <w:szCs w:val="20"/>
          <w:highlight w:val="white"/>
          <w:u w:val="none"/>
          <w:vertAlign w:val="baseline"/>
          <w:rtl w:val="0"/>
        </w:rPr>
        <w:t xml:space="preserve">Modernizacja systemu ciepłowniczego na terenie m. st. Warszawy w celu poprawy efektywności energetycznej na lata 2025-2029 - Etap 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426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Opis przedmiotu za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Przedmiotem zamówienia jest dostawa rur i elementów preizolowanych w płaszczu osłonowym HDPE, z rezystancyjnym systemem sygnalizacyjno-alarmowym zgodnym z systemem stosowanym w warszawskim systemie ciepłowniczym, przeznaczonych do stosowania  w warszawskim systemie ciepłowniczym.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Oferent jest zobowiązany do dostarczenia rur i elementów preizolowanych wyszczególnionych w Załączniku nr 1 w terminie do 21 dni kalendarzowych od daty złożenia zamówienia przez odbiorcę upoważnionego przez Zamawiającego. Dostawę przewiduje się na teren budowy w rejonie adresu wskazanego w Załączniku 1 lub inne miejsce na terenie Warszawy uprzednio wskazane przez Wykonawcę sieci ciepłowniczej i zaakceptowane przez Zamawiającego.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222222"/>
          <w:sz w:val="22"/>
          <w:szCs w:val="22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222222"/>
          <w:sz w:val="22"/>
          <w:szCs w:val="22"/>
          <w:u w:val="single"/>
          <w:vertAlign w:val="baseline"/>
          <w:rtl w:val="0"/>
        </w:rPr>
        <w:t xml:space="preserve">Wszystkie materiały dostarczane przez Wykonawcę w ramach realizacji zamówienia powinny stanowić wyroby budowlane w rozumieniu właściwych przepisów, w szczególności ustawy z dnia 7 lipca 1994 r.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222222"/>
          <w:sz w:val="22"/>
          <w:szCs w:val="22"/>
          <w:u w:val="single"/>
          <w:vertAlign w:val="baseline"/>
          <w:rtl w:val="0"/>
        </w:rPr>
        <w:t xml:space="preserve">Prawo budowlane (Dz. U. z 2024 r. poz. 725 tekst jedn. z późń. zm.) oraz ustawy z dnia 16 kwietnia 2004 r. o wyrobach budowlanych (Dz. U. z 2021 r. poz. 1213 tekst jedn. z późń. zm.),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222222"/>
          <w:sz w:val="22"/>
          <w:szCs w:val="22"/>
          <w:u w:val="single"/>
          <w:vertAlign w:val="baseline"/>
          <w:rtl w:val="0"/>
        </w:rPr>
        <w:t xml:space="preserve"> oraz spełniać przewidziane dla tych wyrobów wymagania.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Termin realizacji dostawy materiałów zostanie każdorazowo określony w Zamówieniu.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UWAGA!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Materiały wymienione w Załączniku nr 1 stanowią propozycję  zamawianych materiałów.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Oferta ma zawierać indywidualną wycenę na jednostkę miary rur i elementów preizolowanych występujących w w/w Załącznikach w dostosowaniu do schematu montażowego.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Zamawiający dopuszcza możliwość zamówienia materiałów dodatkowych, poza wymienionymi w Załączniku nr 1, a niezbędnych do prawidłowego wykonania i funkcjonowania sieci ciepłowniczej zadania zgodnie z zapisami umowy. W takim przypadku zostaną zastosowane jednostkowe ceny zakupu podane w ofercie i stanowiące załącznik do umowy.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Schemat montażowy sieci ciepłowniczej stanowiący Załącznik nr 2 stanowi rozwiązanie optymalne, dostosowane do zaprojektowanej trasy sieci ciepłowniczej oraz przyjętych rozwiązań projektowych i wytrzymałościowych.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Wykonawca ma obowiązek dołączyć do oferty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single"/>
          <w:vertAlign w:val="baseline"/>
          <w:rtl w:val="0"/>
        </w:rPr>
        <w:t xml:space="preserve">czytelny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schemat montażowy przeliczony i dostosowany do oferowanych materiałów preizolowanych umożliwiający zachowanie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geometrii sieci ciepłowniczej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, bez zmiany trasy sieci ciepłowniczej i spełniające warunki wytrzymałościowe. Przy przeliczaniu schematów montażowych Wykonawca ma obowiązek dobrać i uwzględnić w ofercie materiały zapewniające zachowanie niezbędnych stref kompensacyjnych (poduszki, maty itp.).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single"/>
          <w:vertAlign w:val="baseline"/>
          <w:rtl w:val="0"/>
        </w:rPr>
        <w:t xml:space="preserve">Podstawowym dokumentem do złożenia oferty jest czytelny schemat montażowy stanowiący Załącznik nr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 przypadku oczywistych pomyłek w zestawieniu materiałów (Załącznik 1), należy go skorygować w oparciu o załączony schemat montażowy.           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single"/>
          <w:vertAlign w:val="baseline"/>
          <w:rtl w:val="0"/>
        </w:rPr>
        <w:t xml:space="preserve">Schemat montażowy opracowany przez Wykonawcę powinien być czytelny i wykonany przy uwzględnieniu: rozrysowania przewodu zasilającego, osi i przewodu powrotnego, zwymiarowania długości trasy do osi rurociągów, rozliczenia i podania długości elementów sieci dla minimum rurociągu zasilającego lub powrotnego, umiejscowienia i wyspecyfikowania stref kompensacyjnych.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Wszelka przekazywana dokumentacja musi być w języku polskim.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hanging="425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Wymagania formalne dla rur i elementów preizolowanych w płaszczu osłonowym HDPE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wg opracowania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„Eksploatacyjne wytyczne projektowania oraz wykonania rurociągów preizolowanych w osłonie PE-HD – Część I - Wymagania techniczne” – Załącznik nr 3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 oraz  „Specyfikacja techniczna: Rury i elementy preizolowane w osłonie PE-HD”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 – Załącznik nr 3A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51" w:right="-142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17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Zamawiający dopuszcza rury i elementy preizolowane w płaszczu osłonowym HDPE z rezystancyjnym systemem sygnalizacyjno-alarmowym zgodnym z systemem stosowanym w warszawskiej sieci ciepłowniczej spełniające wymogi innych norm a posiadających cechy równoważne oraz standardy i parametry określone w przywoływanych w opracowaniach PN.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17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hanging="425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Wytyczne wykonania rurociągów preizolowanych w płaszczu osłonowym HDPE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wg opracowania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„Eksploatacyjne wytyczne projektowania oraz wykonania rurociągów preizolowanych w osłonie PE-HD – Część II – Projektowanie i montaż” - Załącznik 4,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f0000"/>
          <w:sz w:val="22"/>
          <w:szCs w:val="22"/>
          <w:u w:val="none"/>
          <w:vertAlign w:val="baseline"/>
          <w:rtl w:val="0"/>
        </w:rPr>
        <w:t xml:space="preserve">  Dokumentacja przewiduje grubości ścianek zgodnie z wymaganiami na dzień sporządzenia projektu. Wykonawca ma obowiązek opracować ofertę zgodnie z aktualnymi wytycznymi Veolia.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hanging="425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Wymagania formalne na izolację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wg.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 „Wymagania techniczne oraz specyfikacja techniczna dla izolacji termicznych przeznaczonych do stosowania na rurociągach w.s.c. - Załącznik 5,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hanging="425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Wymagania formalne na kurki kulowe wysokoparametrowe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wg.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 „Wymagań technicznych oraz specyfikacji technicznej dla kurków kulowych przeznaczonych do montażu w w.s.c.” – Załącznik nr 6 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hanging="425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Wymagania formalne na przepustnice zaporowo- regulujące wg.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„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Wymagań technicznych oraz specyfikacji technicznej dla przepustnic zaporowo-regulujacych przeznaczonych do montażu w w.s.c.” – Załącznik 7 - oraz „Wymagań technicznych dla armatury zaporowej i regulującej przeznaczonej do montażu w wysokoparametrowych rurociągach wodnych w.s.c.” – Załącznik 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hanging="425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Specyfikacja techniczna -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rury i elementy preizolowane w osłonie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a"/>
          <w:sz w:val="22"/>
          <w:szCs w:val="22"/>
          <w:rtl w:val="0"/>
        </w:rPr>
        <w:t xml:space="preserve">PE-HD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Specyfikacja „Rury i elementy preizolowane w osłonie PE-HD” stanowiąca Załącznik nr 3A, obejmuje wymagania formalne przy składaniu ofert oraz przy dostawach w ramach przetargów organizowanych przez Veolia Energia Warszawa S.A., na zakup rur i elementów preizolowanych w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osłonie PE-HD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, przeznaczonych do stosowania w warszawskim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systemie ciepłowniczym.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Oferent jest zobowiązany do dostarczenia rur i elementów preizolowanych wykonanych zgodnie z </w:t>
      </w:r>
      <w:r w:rsidDel="00000000" w:rsidR="00000000" w:rsidRPr="00000000">
        <w:rPr>
          <w:rFonts w:ascii="Calibri" w:cs="Calibri" w:eastAsia="Calibri" w:hAnsi="Calibri"/>
          <w:color w:val="00000a"/>
          <w:sz w:val="22"/>
          <w:szCs w:val="22"/>
          <w:rtl w:val="0"/>
        </w:rPr>
        <w:t xml:space="preserve">Eksploatacyjnymi wytycznymi projektowania oraz wykonania rurociągów preizolowanych w osłonie PE-HD – Część I - Wymagania techniczne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stanowiącymi Załącznik nr 3.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single"/>
          <w:vertAlign w:val="baseline"/>
          <w:rtl w:val="0"/>
        </w:rPr>
        <w:t xml:space="preserve">Wykaz dokumentów wymaganych przy składaniu oferty na zakup rur i elementów preizolowanych: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Krajowe deklaracje właściwości użytkowych (KDWU)· na wyroby objęte postępowaniem (rury preizolowane, kształtki preizolowane, armatura preizolowana).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Deklaracja określająca system surowcowy zastosowany do produkcji pianki PUR.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Sprawozdanie z badania współczynnika przewodzenia przed starzeniem przeprowadzonego przez akredytowane laboratorium badawcze na aparacie rurowym, zgodnie z PN-EN 253, dla zadeklarowanego systemu surowcowego.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Sprawozdanie z badań przeprowadzonych przez akredytowane laboratorium potwierdzające właściwości użytkowe rur preizolowanych w ciągu 30 letniej eksploatacji w ciągłej temperaturze pracy 120°C (sprawozdanie z badań ścinania osiowego po starzeniu w temperaturze 170°C przez 1450 godz.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sz w:val="22"/>
          <w:szCs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lub w temperaturze 160°C przez 3600 godz.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), dla zadeklarowanego systemu surowcowego.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Deklaracja określająca producenta oraz materiał,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z którego wykonan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 jest osłona PE-HD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wraz z aktualnym (nie starszym, niż pół roku, licząc od dnia złożenia dokumentu) świadectwem odbioru 3.1 granulatu.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Deklaracja określająca wymiary geometryczne (średnicę i grubość ścianki) rury przewodowej i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osłony PE-HD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 funkcji DN rur preizolowanych objętych dostawą.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Dokumenty dotyczące wszystkich typów złączy preizolowanych objętych ofertą (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również złączy zgrzewanych elektrycznie, kolanowych i redukcyjnych, jeśli występują):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hanging="567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Krajowa deklaracja właściwości użytkowych na dany typ złącza.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hanging="567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Sprawozdanie z badań typu złącza przeprowadzonych przez akredytowane laboratorium zgodnie z normą PN-EN 489-1:2020-01.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Sprawozdanie ma zawierać dokumentację fotograficzną, która jest jego integralną częścią.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 przypadku, gdy producent złączy nie jest producentem rur preizolowanych dopuszcza się, aby wyniki badań pianki PUR ze złączy zawarte były w odrębnym sprawozdaniu.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W przypadku, gdy oferta obejmuje złącza zgrzewane elektrycznie, producent ma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załączyć deklarację określającą: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142.0000000000000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- materiał, z którego wykonane są mufy,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142.0000000000000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- gęstość i MFR tego materiału,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142.0000000000000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- sprawozdanie z badań obciążenia od gruntu (w skrzyni z piaskiem), potwierdzające wytrzymałość złącza na obciążenia siłami osiowymi, powstającymi przy osiowym przemieszczaniu rury w gruncie.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przypadku, gdy oferta obejmuje dostawę mat kompensacyjnych - sprawozdanie z badań maty kompensacyjnej z polietylenu sieciowanego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PE-X wykonanych w akredytowanym laboratorium (zgodnie z EKSPLOATACYJNYMI WYTYCZNYMI PROJEKTOWANIA ORAZ WYKONYWANIA RUROCIĄGÓW PREIZOLOWANYCH W OSŁONIE PE-HD CZĘŚĆ I: WYMAGANIA TECHNICZNE).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przypadku , gdy oferta obejmuje złącza sieciowane radiacyjnie, producent powinien załączyć deklarację określającą stopień sieciowania osłon złączy (wymagany minimalny stopień usieciowania: 40 %, maksymalny stopień usieciowania 55 %) 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Wykaz dokumentów wymaganych wraz z dostawą materiałów preizolowanych: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Świadectwo odbioru 3.1 wg PN-EN 10204 stalowych rur przewodowych.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Instrukcja przenoszenia i składowania materiałów preizolowanych.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KDWU na dostarczane wyroby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 przypadku złączy zgrzewanych elektrycznie świadectwo odbioru 3.1 wg PN-EN 10204 płyt polietylenowych, z których wykonane są złącza.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przypadku, gdy oferta obejmuje dostawę mat kompensacyjnych - sprawozdanie z badań maty kompensacyjnej z polietylenu sieciowanego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PE-X wykonanych w akredytowanym laboratorium (zgodnie z EKSPLOATACYJNYMI WYTYCZNYMI PROJEKTOWANIA ORAZ WYKONYWANIA RUROCIĄGÓW PREIZOLOWANYCH W OSŁONIE PE-HD CZĘŚĆ I: WYMAGANIA TECHNICZNE).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Instrukcja montażu złączy preizolowanych.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Wytyczne montażu systemu rur preizolowanych objętego ofertą.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Badania wyrobów preizolowanych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Zamawiający zastrzega sobie prawo do: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142.0000000000000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kontroli jakości materiałów i komponentów oraz procesu produkcyjnego na każdym jego etapie. Dostawca powinien powiadomić zamawiającego o rozpoczęciu produkcji,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142.0000000000000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odbioru jakościowego przed wysłaniem partii wyrobów (zespół kontrolny 2 – 3 osoby, przejazdy i pobyt u producenta na koszt dostawcy/ producenta).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Zamawiający zastrzega sobie prawo na każdym etapie realizacji umowy do kontroli, polegającej na przeprowadzeniu badań próbek pobranych z partii wyrobów z otrzymanych materiałów preizolowanych (jako partię wyrobów rozumie się komplet materiałów preizolowanych dla odrębnego zadania inwestycyjnego) w Laboratorium Badawczym Veolia Energia Warszawa S.A. lub innym posiadającym akredytację.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Celem badań jest sprawdzenie wybranych własności dostarczonych nowych wyrobów i porównanie wyników z wymaganiami określonymi w KDWU.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Wykazanie niezgodności może skutkować dla Dostawcy/ Producenta: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142.0000000000000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obciążeniem kosztami badań.,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142.0000000000000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odrzuceniem partii wyrobów lub obniżeniem wartości wynagrodzenia za partię materiałów, w której wykryto wady.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Elementy preizolowane mają być dostarczane w taki sposób, aby umożliwić rozładunek mechaniczny. Opakowanie nie podlega zwrotowi (dotyczy również palet).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single"/>
          <w:shd w:fill="auto" w:val="clear"/>
          <w:vertAlign w:val="baseline"/>
          <w:rtl w:val="0"/>
        </w:rPr>
        <w:t xml:space="preserve">Załączniki: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1. </w:t>
        <w:tab/>
        <w:t xml:space="preserve">Zestawienie rur i elementów preizolowanych. </w:t>
      </w:r>
    </w:p>
    <w:p w:rsidR="00000000" w:rsidDel="00000000" w:rsidP="00000000" w:rsidRDefault="00000000" w:rsidRPr="00000000" w14:paraId="0000005B">
      <w:pPr>
        <w:spacing w:line="276" w:lineRule="auto"/>
        <w:ind w:left="1701" w:firstLine="0"/>
        <w:jc w:val="both"/>
        <w:rPr>
          <w:rFonts w:ascii="Calibri" w:cs="Calibri" w:eastAsia="Calibri" w:hAnsi="Calibri"/>
          <w:color w:val="00000a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a"/>
          <w:sz w:val="22"/>
          <w:szCs w:val="22"/>
          <w:rtl w:val="0"/>
        </w:rPr>
        <w:t xml:space="preserve">Załącznik nr 1A. </w:t>
        <w:tab/>
        <w:t xml:space="preserve">Parametry równoważne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2. </w:t>
        <w:tab/>
        <w:t xml:space="preserve">Schemat montażowy / tylko wersja elektroniczna/,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2a. </w:t>
        <w:tab/>
        <w:t xml:space="preserve">Profile s.c. i przyłącza s.c. / tylko wersja elektroniczna/,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3. </w:t>
        <w:tab/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Eksploatacyjne wytyczne projektowania oraz wykonania rurociągów preizolowanych w osłonie PE-HD – Część I - Wymagania techniczne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3A. </w:t>
        <w:tab/>
        <w:t xml:space="preserve">Specyfikacja techniczna: Rury i elementy preizolowane w osłonie PE-HD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4. </w:t>
        <w:tab/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Eksploatacyjne wytyczne projektowania oraz wykonania rurociągów preizolowanych w osłonie PE-HD – Część II – Projektowanie i montaż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5. </w:t>
        <w:tab/>
        <w:t xml:space="preserve">Wymagania techniczne oraz Specyfikacja techniczna dla izolacji termicznych przeznaczonych do stosowania na rurociągach w.s.c.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6. Wymagania techniczne oraz Specyfikacja techniczna dla kurków kulowych przeznaczonych do montażu w w.s.c.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7. Wymagania techniczne oraz Specyfikacja techniczna dla przepustnic zaporowo-regulujących przeznaczonych do montażu w w.s.c.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cyan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8. </w:t>
        <w:tab/>
        <w:t xml:space="preserve">Wymagania techniczne dla armatury zaporowej i regulującej przeznaczonej do montażu w wysokoparametrowych rurociągach wodnych w.s.c.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560" w:right="0" w:hanging="15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even"/>
      <w:footerReference r:id="rId9" w:type="default"/>
      <w:footerReference r:id="rId10" w:type="even"/>
      <w:pgSz w:h="16838" w:w="11906" w:orient="portrait"/>
      <w:pgMar w:bottom="426" w:top="851" w:left="1684" w:right="991" w:header="0" w:footer="73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77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77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77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77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br w:type="textWrapping"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0" w:hanging="360"/>
      </w:pPr>
      <w:rPr>
        <w:rFonts w:ascii="Calibri" w:cs="Calibri" w:eastAsia="Calibri" w:hAnsi="Calibri"/>
        <w:b w:val="1"/>
        <w:bCs w:val="1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.999999999999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.999999999999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ny">
    <w:name w:val="Normalny"/>
    <w:next w:val="Normalny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20">
    <w:name w:val="Nagłówek 2"/>
    <w:basedOn w:val="Normalny"/>
    <w:next w:val="Normalny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cs="Times New Roman" w:eastAsia="Times New Roman" w:hAnsi="Cambria"/>
      <w:b w:val="1"/>
      <w:bCs w:val="1"/>
      <w:i w:val="1"/>
      <w:iCs w:val="1"/>
      <w:color w:val="auto"/>
      <w:w w:val="100"/>
      <w:position w:val="-1"/>
      <w:sz w:val="28"/>
      <w:szCs w:val="28"/>
      <w:effect w:val="none"/>
      <w:vertAlign w:val="baseline"/>
      <w:cs w:val="0"/>
      <w:em w:val="none"/>
      <w:lang w:bidi="ar-SA" w:eastAsia="pl-PL" w:val="pl-PL"/>
    </w:rPr>
  </w:style>
  <w:style w:type="paragraph" w:styleId="Nagłówek31">
    <w:name w:val="Nagłówek 3"/>
    <w:basedOn w:val="Normalny"/>
    <w:next w:val="Normalny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2"/>
    </w:pPr>
    <w:rPr>
      <w:rFonts w:ascii="Arial" w:cs="Times New Roman" w:eastAsia="Times New Roman" w:hAnsi="Arial"/>
      <w:b w:val="1"/>
      <w:bCs w:val="1"/>
      <w:color w:val="auto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Standardowy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rFonts w:ascii="Arial" w:cs="Arial" w:hAnsi="Arial"/>
      <w:b w:val="1"/>
      <w:bCs w:val="1"/>
      <w:color w:val="00000a"/>
      <w:w w:val="100"/>
      <w:position w:val="-1"/>
      <w:effect w:val="none"/>
      <w:shd w:color="auto" w:fill="ffff00" w:val="clear"/>
      <w:vertAlign w:val="baseline"/>
      <w:cs w:val="0"/>
      <w:em w:val="none"/>
      <w:lang w:val="pl-PL"/>
    </w:rPr>
  </w:style>
  <w:style w:type="character" w:styleId="WW8Num1z2">
    <w:name w:val="WW8Num1z2"/>
    <w:next w:val="WW8Num1z2"/>
    <w:autoRedefine w:val="0"/>
    <w:hidden w:val="0"/>
    <w:qFormat w:val="0"/>
    <w:rPr>
      <w:b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b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color w:val="ff0000"/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1">
    <w:name w:val="Domyślna czcionka akapitu1"/>
    <w:next w:val="Domyślnaczcionkaakapitu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agłówekZnak">
    <w:name w:val="Nagłówek Znak"/>
    <w:next w:val="NagłówekZnak"/>
    <w:autoRedefine w:val="0"/>
    <w:hidden w:val="0"/>
    <w:qFormat w:val="0"/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val="en-US"/>
    </w:rPr>
  </w:style>
  <w:style w:type="character" w:styleId="StopkaZnak">
    <w:name w:val="Stopka Znak"/>
    <w:next w:val="StopkaZnak"/>
    <w:autoRedefine w:val="0"/>
    <w:hidden w:val="0"/>
    <w:qFormat w:val="0"/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val="en-US"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eastAsia="ヒラギノ角ゴ Pro W3" w:hAnsi="Tahoma"/>
      <w:color w:val="000000"/>
      <w:w w:val="100"/>
      <w:position w:val="-1"/>
      <w:sz w:val="16"/>
      <w:szCs w:val="16"/>
      <w:effect w:val="none"/>
      <w:vertAlign w:val="baseline"/>
      <w:cs w:val="0"/>
      <w:em w:val="none"/>
      <w:lang w:val="en-US"/>
    </w:rPr>
  </w:style>
  <w:style w:type="character" w:styleId="ListLabel1">
    <w:name w:val="ListLabel 1"/>
    <w:next w:val="ListLabel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3">
    <w:name w:val="ListLabel 3"/>
    <w:next w:val="ListLabel3"/>
    <w:autoRedefine w:val="0"/>
    <w:hidden w:val="0"/>
    <w:qFormat w:val="0"/>
    <w:rPr>
      <w:b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4">
    <w:name w:val="ListLabel 4"/>
    <w:next w:val="ListLabel4"/>
    <w:autoRedefine w:val="0"/>
    <w:hidden w:val="0"/>
    <w:qFormat w:val="0"/>
    <w:rPr>
      <w:color w:val="ff0000"/>
      <w:w w:val="100"/>
      <w:position w:val="-1"/>
      <w:effect w:val="none"/>
      <w:vertAlign w:val="baseline"/>
      <w:cs w:val="0"/>
      <w:em w:val="none"/>
      <w:lang/>
    </w:rPr>
  </w:style>
  <w:style w:type="character" w:styleId="TekstdymkaZnak1">
    <w:name w:val="Tekst dymka Znak1"/>
    <w:next w:val="TekstdymkaZnak1"/>
    <w:autoRedefine w:val="0"/>
    <w:hidden w:val="0"/>
    <w:qFormat w:val="0"/>
    <w:rPr>
      <w:rFonts w:ascii="Tahoma" w:cs="Tahoma" w:eastAsia="ヒラギノ角ゴ Pro W3" w:hAnsi="Tahoma"/>
      <w:color w:val="000000"/>
      <w:w w:val="100"/>
      <w:position w:val="-1"/>
      <w:sz w:val="16"/>
      <w:szCs w:val="16"/>
      <w:effect w:val="none"/>
      <w:vertAlign w:val="baseline"/>
      <w:cs w:val="0"/>
      <w:em w:val="none"/>
      <w:lang w:val="en-US"/>
    </w:rPr>
  </w:style>
  <w:style w:type="paragraph" w:styleId="Nagłówek3">
    <w:name w:val="Nagłówek3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color w:val="000000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Tekstpodstawowy">
    <w:name w:val="Tekst podstawowy"/>
    <w:basedOn w:val="Normalny"/>
    <w:next w:val="Tekstpodstawowy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Lista">
    <w:name w:val="Lista"/>
    <w:basedOn w:val="Tekstpodstawowy"/>
    <w:next w:val="Lista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Podpis2">
    <w:name w:val="Podpis2"/>
    <w:basedOn w:val="Normalny"/>
    <w:next w:val="Podpis2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ヒラギノ角ゴ Pro W3" w:hAnsi="Arial"/>
      <w:i w:val="1"/>
      <w:i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Indeks">
    <w:name w:val="Indeks"/>
    <w:basedOn w:val="Normalny"/>
    <w:next w:val="Indeks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2">
    <w:name w:val="Nagłówek2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color w:val="000000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Podpis1">
    <w:name w:val="Podpis1"/>
    <w:basedOn w:val="Normalny"/>
    <w:next w:val="Podpis1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ヒラギノ角ゴ Pro W3" w:hAnsi="Arial"/>
      <w:i w:val="1"/>
      <w:i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1">
    <w:name w:val="Nagłówek1"/>
    <w:next w:val="Nagłówek1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ヒラギノ角ゴ Pro W3" w:hAnsi="Arial"/>
      <w:color w:val="000000"/>
      <w:w w:val="100"/>
      <w:position w:val="-1"/>
      <w:sz w:val="22"/>
      <w:effect w:val="none"/>
      <w:vertAlign w:val="baseline"/>
      <w:cs w:val="0"/>
      <w:em w:val="none"/>
      <w:lang w:bidi="ar-SA" w:eastAsia="ar-SA" w:val="en-US"/>
    </w:rPr>
  </w:style>
  <w:style w:type="paragraph" w:styleId="Stopka1">
    <w:name w:val="Stopka1"/>
    <w:next w:val="Stopka1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ヒラギノ角ゴ Pro W3" w:hAnsi="Arial"/>
      <w:color w:val="000000"/>
      <w:w w:val="100"/>
      <w:position w:val="-1"/>
      <w:sz w:val="22"/>
      <w:effect w:val="none"/>
      <w:vertAlign w:val="baseline"/>
      <w:cs w:val="0"/>
      <w:em w:val="none"/>
      <w:lang w:bidi="ar-SA" w:eastAsia="ar-SA" w:val="en-US"/>
    </w:rPr>
  </w:style>
  <w:style w:type="paragraph" w:styleId="Nagłówek">
    <w:name w:val="Nagłówek"/>
    <w:basedOn w:val="Normalny"/>
    <w:next w:val="Nagłówek"/>
    <w:autoRedefine w:val="0"/>
    <w:hidden w:val="0"/>
    <w:qFormat w:val="0"/>
    <w:pPr>
      <w:numPr>
        <w:ilvl w:val="0"/>
        <w:numId w:val="0"/>
      </w:numPr>
      <w:suppressLineNumbers w:val="1"/>
      <w:tabs>
        <w:tab w:val="center" w:leader="none" w:pos="4536"/>
        <w:tab w:val="right" w:leader="none" w:pos="9072"/>
      </w:tabs>
      <w:suppressAutoHyphens w:val="0"/>
      <w:spacing w:line="1" w:lineRule="atLeast"/>
      <w:ind w:left="0" w:right="0" w:leftChars="-1" w:rightChars="0" w:firstLine="0" w:firstLineChars="-1"/>
      <w:textDirection w:val="btLr"/>
      <w:textAlignment w:val="top"/>
      <w:outlineLvl w:val="0"/>
    </w:pPr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Stopka">
    <w:name w:val="Stopka"/>
    <w:basedOn w:val="Normalny"/>
    <w:next w:val="Stopka"/>
    <w:autoRedefine w:val="0"/>
    <w:hidden w:val="0"/>
    <w:qFormat w:val="0"/>
    <w:pPr>
      <w:numPr>
        <w:ilvl w:val="0"/>
        <w:numId w:val="0"/>
      </w:numPr>
      <w:suppressLineNumbers w:val="1"/>
      <w:tabs>
        <w:tab w:val="center" w:leader="none" w:pos="4536"/>
        <w:tab w:val="right" w:leader="none" w:pos="9072"/>
      </w:tabs>
      <w:suppressAutoHyphens w:val="0"/>
      <w:spacing w:line="1" w:lineRule="atLeast"/>
      <w:ind w:left="0" w:right="0" w:leftChars="-1" w:rightChars="0" w:firstLine="0" w:firstLineChars="-1"/>
      <w:textDirection w:val="btLr"/>
      <w:textAlignment w:val="top"/>
      <w:outlineLvl w:val="0"/>
    </w:pPr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BalloonText">
    <w:name w:val="Balloon Text"/>
    <w:basedOn w:val="Normalny"/>
    <w:next w:val="BalloonText"/>
    <w:autoRedefine w:val="0"/>
    <w:hidden w:val="0"/>
    <w:qFormat w:val="0"/>
    <w:pPr>
      <w:numPr>
        <w:ilvl w:val="0"/>
        <w:numId w:val="0"/>
      </w:numPr>
      <w:suppressAutoHyphens w:val="0"/>
      <w:spacing w:line="1" w:lineRule="atLeast"/>
      <w:ind w:left="0" w:right="0" w:leftChars="-1" w:rightChars="0" w:firstLine="0" w:firstLineChars="-1"/>
      <w:textDirection w:val="btLr"/>
      <w:textAlignment w:val="top"/>
      <w:outlineLvl w:val="0"/>
    </w:pPr>
    <w:rPr>
      <w:rFonts w:ascii="Tahoma" w:cs="Tahoma" w:eastAsia="ヒラギノ角ゴ Pro W3" w:hAnsi="Tahoma"/>
      <w:color w:val="000000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pl-PL"/>
    </w:rPr>
  </w:style>
  <w:style w:type="paragraph" w:styleId="ListParagraph">
    <w:name w:val="List Paragraph"/>
    <w:basedOn w:val="Normalny"/>
    <w:next w:val="ListParagraph"/>
    <w:autoRedefine w:val="0"/>
    <w:hidden w:val="0"/>
    <w:qFormat w:val="0"/>
    <w:pPr>
      <w:numPr>
        <w:ilvl w:val="0"/>
        <w:numId w:val="0"/>
      </w:numPr>
      <w:suppressAutoHyphens w:val="0"/>
      <w:spacing w:after="200" w:before="0" w:line="276" w:lineRule="auto"/>
      <w:ind w:left="720" w:right="0" w:leftChars="-1" w:rightChars="0" w:firstLine="0" w:firstLineChars="-1"/>
      <w:textDirection w:val="btLr"/>
      <w:textAlignment w:val="top"/>
      <w:outlineLvl w:val="0"/>
    </w:pPr>
    <w:rPr>
      <w:rFonts w:ascii="Calibri" w:cs="" w:eastAsia="ヒラギノ角ゴ Pro W3" w:hAnsi="Calibri"/>
      <w:color w:val="00000a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pl-PL"/>
    </w:rPr>
  </w:style>
  <w:style w:type="paragraph" w:styleId="Tekstdymka">
    <w:name w:val="Tekst dymka"/>
    <w:basedOn w:val="Normalny"/>
    <w:next w:val="Tekstdymk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ヒラギノ角ゴ Pro W3" w:hAnsi="Tahoma"/>
      <w:color w:val="000000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pl-PL"/>
    </w:rPr>
  </w:style>
  <w:style w:type="character" w:styleId="Nagłówek3Znak">
    <w:name w:val="Nagłówek 3 Znak"/>
    <w:next w:val="Nagłówek3Znak"/>
    <w:autoRedefine w:val="0"/>
    <w:hidden w:val="0"/>
    <w:qFormat w:val="0"/>
    <w:rPr>
      <w:rFonts w:ascii="Arial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eastAsia="und" w:val="und"/>
    </w:rPr>
  </w:style>
  <w:style w:type="paragraph" w:styleId="Tekstpodstawowy3">
    <w:name w:val="Tekst podstawowy 3"/>
    <w:basedOn w:val="Normalny"/>
    <w:next w:val="Tekstpodstawowy3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Tekstpodstawowy3Znak">
    <w:name w:val="Tekst podstawowy 3 Znak"/>
    <w:next w:val="Tekstpodstawowy3Znak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 w:eastAsia="und" w:val="und"/>
    </w:rPr>
  </w:style>
  <w:style w:type="paragraph" w:styleId="BodyText21">
    <w:name w:val="Body Text 21"/>
    <w:basedOn w:val="Normalny"/>
    <w:next w:val="BodyText21"/>
    <w:autoRedefine w:val="0"/>
    <w:hidden w:val="0"/>
    <w:qFormat w:val="0"/>
    <w:pPr>
      <w:tabs>
        <w:tab w:val="left" w:leader="none" w:pos="900"/>
      </w:tabs>
      <w:suppressAutoHyphens w:val="1"/>
      <w:spacing w:line="36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2"/>
      <w:szCs w:val="20"/>
      <w:effect w:val="none"/>
      <w:vertAlign w:val="baseline"/>
      <w:cs w:val="0"/>
      <w:em w:val="none"/>
      <w:lang w:bidi="ar-SA" w:eastAsia="pl-PL" w:val="pl-PL"/>
    </w:rPr>
  </w:style>
  <w:style w:type="character" w:styleId="Nagłówek2Znak">
    <w:name w:val="Nagłówek 2 Znak"/>
    <w:next w:val="Nagłówek2Znak"/>
    <w:autoRedefine w:val="0"/>
    <w:hidden w:val="0"/>
    <w:qFormat w:val="0"/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Akapitzlistą">
    <w:name w:val="Akapit z listą"/>
    <w:basedOn w:val="Normalny"/>
    <w:next w:val="Akapitzlistą"/>
    <w:autoRedefine w:val="0"/>
    <w:hidden w:val="0"/>
    <w:qFormat w:val="0"/>
    <w:pPr>
      <w:suppressAutoHyphens w:val="0"/>
      <w:spacing w:line="1" w:lineRule="atLeast"/>
      <w:ind w:left="708" w:leftChars="-1" w:rightChars="0" w:firstLineChars="-1"/>
      <w:textDirection w:val="btLr"/>
      <w:textAlignment w:val="top"/>
      <w:outlineLvl w:val="0"/>
    </w:pPr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character" w:styleId="Odwołaniedokomentarza">
    <w:name w:val="Odwołanie do komentarza"/>
    <w:next w:val="Odwołaniedokomentarza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kstkomentarza">
    <w:name w:val="Tekst komentarza"/>
    <w:basedOn w:val="Normalny"/>
    <w:next w:val="Tekstkomentarza"/>
    <w:autoRedefine w:val="0"/>
    <w:hidden w:val="0"/>
    <w:qFormat w:val="1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pl-PL"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Tekstpodstawowy31">
    <w:name w:val="Tekst podstawowy 31"/>
    <w:basedOn w:val="Normalny"/>
    <w:next w:val="Tekstpodstawowy31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und"/>
    </w:rPr>
  </w:style>
  <w:style w:type="character" w:styleId="Odwołanieprzypisudolnego">
    <w:name w:val="Odwołanie przypisu dolnego"/>
    <w:next w:val="Odwołanieprzypisudolnego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Tekstprzypisudolnego">
    <w:name w:val="Tekst przypisu dolnego"/>
    <w:basedOn w:val="Normalny"/>
    <w:next w:val="Tekstprzypisudolnego"/>
    <w:autoRedefine w:val="0"/>
    <w:hidden w:val="0"/>
    <w:qFormat w:val="0"/>
    <w:pPr>
      <w:suppressAutoHyphens w:val="1"/>
      <w:spacing w:line="300" w:lineRule="auto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Calibri" w:hAnsi="Times New Roman"/>
      <w:color w:val="auto"/>
      <w:w w:val="100"/>
      <w:position w:val="-1"/>
      <w:sz w:val="20"/>
      <w:szCs w:val="20"/>
      <w:effect w:val="none"/>
      <w:vertAlign w:val="baseline"/>
      <w:cs w:val="0"/>
      <w:em w:val="none"/>
      <w:lang w:bidi="ar-SA" w:eastAsia="pl-PL" w:val="pl-PL"/>
    </w:rPr>
  </w:style>
  <w:style w:type="character" w:styleId="TekstprzypisudolnegoZnak">
    <w:name w:val="Tekst przypisu dolnego Znak"/>
    <w:next w:val="Tekstprzypisudolnego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łącze">
    <w:name w:val="Hiperłącze"/>
    <w:next w:val="Hiperłącze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 w:bidi="und" w:eastAsia="und" w:val="und"/>
    </w:rPr>
  </w:style>
  <w:style w:type="paragraph" w:styleId="Akapitzlistą1">
    <w:name w:val="Akapit z listą1"/>
    <w:basedOn w:val="Normalny"/>
    <w:next w:val="Akapitzlistą1"/>
    <w:autoRedefine w:val="0"/>
    <w:hidden w:val="0"/>
    <w:qFormat w:val="0"/>
    <w:pPr>
      <w:suppressAutoHyphens w:val="0"/>
      <w:spacing w:after="200" w:line="276" w:lineRule="auto"/>
      <w:ind w:left="720" w:leftChars="-1" w:rightChars="0" w:firstLineChars="-1"/>
      <w:textDirection w:val="btLr"/>
      <w:textAlignment w:val="top"/>
      <w:outlineLvl w:val="0"/>
    </w:pPr>
    <w:rPr>
      <w:rFonts w:ascii="Calibri" w:cs="font312" w:eastAsia="ヒラギノ角ゴ Pro W3" w:hAnsi="Calibri"/>
      <w:color w:val="00000a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pl-PL"/>
    </w:rPr>
  </w:style>
  <w:style w:type="paragraph" w:styleId="Tekstpodstawowywcięty">
    <w:name w:val="Tekst podstawowy wcięty"/>
    <w:basedOn w:val="Normalny"/>
    <w:next w:val="Tekstpodstawowywcięty"/>
    <w:autoRedefine w:val="0"/>
    <w:hidden w:val="0"/>
    <w:qFormat w:val="1"/>
    <w:pPr>
      <w:suppressAutoHyphens w:val="0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character" w:styleId="TekstpodstawowywciętyZnak">
    <w:name w:val="Tekst podstawowy wcięty Znak"/>
    <w:next w:val="TekstpodstawowywciętyZnak"/>
    <w:autoRedefine w:val="0"/>
    <w:hidden w:val="0"/>
    <w:qFormat w:val="0"/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eastAsia="ar-SA" w:val="en-US"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0w18CVqZWdAekmDVP5OtSM1iHQ==">CgMxLjAyCWguMnU2d250ZjIIaC5namRneHM4AHIhMUtlQXpXMV94eXdRdFVNTnVJRWFnaldUOTB0elRzZ0Na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2024-02-16T09:01:00Z</dcterms:created>
  <dc:creator>dunaj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str>12.0000</vt:lpstr>
  </property>
  <property fmtid="{D5CDD505-2E9C-101B-9397-08002B2CF9AE}" pid="3" name="Company">
    <vt:lpstr>Dalkia</vt:lp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